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" w:hAnsi="仿宋" w:eastAsia="仿宋" w:cs="Times New Roman"/>
          <w:b/>
          <w:sz w:val="44"/>
          <w:szCs w:val="44"/>
        </w:rPr>
      </w:pPr>
      <w:r>
        <w:rPr>
          <w:rFonts w:hint="eastAsia" w:ascii="仿宋" w:hAnsi="仿宋" w:eastAsia="仿宋" w:cs="Times New Roman"/>
          <w:b/>
          <w:sz w:val="44"/>
          <w:szCs w:val="44"/>
        </w:rPr>
        <w:t>硅PU技术参数要求</w:t>
      </w: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>1.厚度：≧4mm</w:t>
      </w:r>
    </w:p>
    <w:p>
      <w:pPr>
        <w:spacing w:line="360" w:lineRule="auto"/>
        <w:rPr>
          <w:color w:val="0000FF"/>
        </w:rPr>
      </w:pPr>
      <w:r>
        <w:rPr>
          <w:rFonts w:hint="eastAsia"/>
        </w:rPr>
        <w:t xml:space="preserve">2.冲击吸收/%：20~50、垂直变形/mm：0.6~3.0、球反弹率/%：≥75 </w:t>
      </w:r>
    </w:p>
    <w:p>
      <w:pPr>
        <w:spacing w:line="360" w:lineRule="auto"/>
      </w:pPr>
      <w:r>
        <w:rPr>
          <w:rFonts w:hint="eastAsia"/>
        </w:rPr>
        <w:t>3.抗滑值（20℃）/BPN：比赛用场地90~110（干测）；教学和训练用场地80~110（干测）</w:t>
      </w:r>
    </w:p>
    <w:p>
      <w:pPr>
        <w:spacing w:line="360" w:lineRule="auto"/>
      </w:pPr>
      <w:r>
        <w:rPr>
          <w:rFonts w:hint="eastAsia"/>
        </w:rPr>
        <w:t>4.拉伸强度/MPa：比赛用场地≥0.70；教学和训练用场地≥0.50</w:t>
      </w:r>
    </w:p>
    <w:p>
      <w:pPr>
        <w:spacing w:line="360" w:lineRule="auto"/>
      </w:pPr>
      <w:r>
        <w:rPr>
          <w:rFonts w:hint="eastAsia"/>
        </w:rPr>
        <w:t>5.拉断伸长率/%：比赛用场地≥90；教学和训练用场地≥50</w:t>
      </w:r>
    </w:p>
    <w:p>
      <w:pPr>
        <w:spacing w:line="360" w:lineRule="auto"/>
      </w:pPr>
      <w:r>
        <w:rPr>
          <w:rFonts w:hint="eastAsia"/>
        </w:rPr>
        <w:t>6.色牢度：干、湿两种条件下均无脱色</w:t>
      </w:r>
    </w:p>
    <w:p>
      <w:pPr>
        <w:spacing w:line="360" w:lineRule="auto"/>
      </w:pPr>
      <w:r>
        <w:rPr>
          <w:rFonts w:hint="eastAsia"/>
        </w:rPr>
        <w:t>7.拉伸强度/MPa：比赛用场地≥0.70；教学和训练用场地≥0.50</w:t>
      </w:r>
    </w:p>
    <w:p>
      <w:pPr>
        <w:spacing w:line="360" w:lineRule="auto"/>
      </w:pPr>
      <w:r>
        <w:rPr>
          <w:rFonts w:hint="eastAsia"/>
        </w:rPr>
        <w:t>8.拉断伸长率/%：比赛用场地≥90；教学和训练用场地≥50</w:t>
      </w:r>
    </w:p>
    <w:p>
      <w:pPr>
        <w:spacing w:line="360" w:lineRule="auto"/>
      </w:pPr>
      <w:r>
        <w:rPr>
          <w:rFonts w:hint="eastAsia"/>
        </w:rPr>
        <w:t>9.3种邻苯二甲酸酯类化合物（DBP、BBP、DEHP）总和/（g/kg）：≤1.0</w:t>
      </w:r>
    </w:p>
    <w:p>
      <w:pPr>
        <w:spacing w:line="360" w:lineRule="auto"/>
      </w:pPr>
      <w:r>
        <w:rPr>
          <w:rFonts w:hint="eastAsia"/>
        </w:rPr>
        <w:t>10.3种邻苯二甲酸酯类化合物（DNOP、DINP、DIDP）总和/（g/kg）：≤1.0</w:t>
      </w:r>
    </w:p>
    <w:p>
      <w:pPr>
        <w:spacing w:line="360" w:lineRule="auto"/>
      </w:pPr>
      <w:r>
        <w:rPr>
          <w:rFonts w:hint="eastAsia"/>
        </w:rPr>
        <w:t>11.18种多环芳烃总和/ (mg/kg)：≤50、苯并[a]芘/(mg/kg)：≤1.0</w:t>
      </w:r>
    </w:p>
    <w:p>
      <w:pPr>
        <w:spacing w:line="360" w:lineRule="auto"/>
      </w:pPr>
      <w:r>
        <w:rPr>
          <w:rFonts w:hint="eastAsia"/>
        </w:rPr>
        <w:t>12.短链氯化石蜡（C10-C13）/（g/kg）：≤0.1</w:t>
      </w:r>
    </w:p>
    <w:p>
      <w:pPr>
        <w:spacing w:line="360" w:lineRule="auto"/>
      </w:pPr>
      <w:r>
        <w:rPr>
          <w:rFonts w:hint="eastAsia"/>
        </w:rPr>
        <w:t>13.游离甲苯二异氰酸酯（TDI）和游离六亚甲基二异氰酸酯（HDI）总和/（g/kg）：≤0.2</w:t>
      </w:r>
    </w:p>
    <w:p>
      <w:pPr>
        <w:spacing w:line="360" w:lineRule="auto"/>
      </w:pPr>
      <w:r>
        <w:rPr>
          <w:rFonts w:hint="eastAsia"/>
        </w:rPr>
        <w:t>14.游离二苯基甲烷二异氰酸酯（MDI）/（g/kg）：≤1.0</w:t>
      </w:r>
    </w:p>
    <w:p>
      <w:pPr>
        <w:spacing w:line="360" w:lineRule="auto"/>
      </w:pPr>
      <w:r>
        <w:rPr>
          <w:rFonts w:hint="eastAsia"/>
        </w:rPr>
        <w:t>15.可溶性铅 /(mg/kg)：≤50、可溶性镉 /(mg/kg)：≤10、可溶性铬 /(mg/kg)：≤10、可溶性汞 /(mg/kg)：≤2</w:t>
      </w:r>
    </w:p>
    <w:p>
      <w:pPr>
        <w:spacing w:line="360" w:lineRule="auto"/>
      </w:pPr>
      <w:r>
        <w:rPr>
          <w:rFonts w:hint="eastAsia"/>
        </w:rPr>
        <w:t>16.总挥发性有机化合物（TVOC）/[mg/（㎡.h）]：≤5.0</w:t>
      </w:r>
    </w:p>
    <w:p>
      <w:pPr>
        <w:spacing w:line="360" w:lineRule="auto"/>
      </w:pPr>
      <w:r>
        <w:rPr>
          <w:rFonts w:hint="eastAsia"/>
        </w:rPr>
        <w:t>17.甲醛/[mg/（㎡.h）]：≤0.4、苯/[mg/（㎡.h）]：≤0.1、甲苯、二甲苯和乙苯总和/[mg/（㎡.h）]：≤1.0、二硫化碳/[mg/（㎡.h）]：≤7.0、气味等级/级：≤3</w:t>
      </w:r>
    </w:p>
    <w:p>
      <w:pPr>
        <w:spacing w:line="360" w:lineRule="auto"/>
        <w:rPr>
          <w:b/>
          <w:bCs/>
          <w:color w:val="0000FF"/>
        </w:rPr>
      </w:pPr>
      <w:r>
        <w:rPr>
          <w:rFonts w:hint="eastAsia"/>
        </w:rPr>
        <w:t>18.球场面层所用聚氨酯弹性原材料依据《GB/T 528-2009硫化橡胶或热塑性橡胶拉伸应力应变性能的测定》测试，拉伸强度≥10MPa，拉断伸长率≥250%；</w:t>
      </w:r>
      <w:r>
        <w:rPr>
          <w:rFonts w:hint="eastAsia"/>
          <w:b/>
          <w:bCs/>
        </w:rPr>
        <w:t>（需提供具备“CMA”或“CNAS”资质的第三方检测机构出具的检验合格报告复印件佐证。）</w:t>
      </w:r>
    </w:p>
    <w:p>
      <w:pPr>
        <w:spacing w:line="360" w:lineRule="auto"/>
        <w:rPr>
          <w:b/>
          <w:bCs/>
          <w:color w:val="0000FF"/>
        </w:rPr>
      </w:pPr>
      <w:r>
        <w:rPr>
          <w:rFonts w:hint="eastAsia"/>
        </w:rPr>
        <w:t>19.球场面层成品经PH值4.0的酸雨溶液浸泡不小于168h后，面层外观颜色无明显变化，拉伸强度≥1MPa，拉断伸长率≥90%，符合《T/SCSVA0002.1-2023体育运动场地建设和验收 第1部分：合成材料面层》对大专院校、公共及社会体育场地面层的规定，（</w:t>
      </w:r>
      <w:r>
        <w:rPr>
          <w:rFonts w:hint="eastAsia"/>
          <w:b/>
          <w:bCs/>
        </w:rPr>
        <w:t>需提供具备“CMA”或“CNAS”资质的第三方检测机构出具的检验合格报告复印件佐证。）</w:t>
      </w:r>
    </w:p>
    <w:p>
      <w:pPr>
        <w:spacing w:line="360" w:lineRule="auto"/>
        <w:rPr>
          <w:b/>
          <w:bCs/>
          <w:color w:val="0000FF"/>
        </w:rPr>
      </w:pPr>
      <w:r>
        <w:rPr>
          <w:rFonts w:hint="eastAsia"/>
        </w:rPr>
        <w:t>20.球场面层成品满足以下环保指标：有机卤素化合物（EOX）≤100 mg/kg、可溶性有机碳（DOC）≤50 mg/L，（</w:t>
      </w:r>
      <w:r>
        <w:rPr>
          <w:rFonts w:hint="eastAsia"/>
          <w:b/>
          <w:bCs/>
        </w:rPr>
        <w:t>需提供具备“CMA”或“CNAS”资质的第三方检测机构出具的检验合格报告复印件佐证。）</w:t>
      </w:r>
    </w:p>
    <w:p>
      <w:pPr>
        <w:spacing w:line="360" w:lineRule="auto"/>
        <w:rPr>
          <w:b/>
          <w:bCs/>
        </w:rPr>
      </w:pPr>
      <w:r>
        <w:rPr>
          <w:rFonts w:hint="eastAsia"/>
        </w:rPr>
        <w:t>21.球场面层分别在碱性溶液Ca（OH）2以及模拟</w:t>
      </w:r>
      <w:bookmarkStart w:id="0" w:name="_GoBack"/>
      <w:bookmarkEnd w:id="0"/>
      <w:r>
        <w:rPr>
          <w:rFonts w:hint="eastAsia"/>
        </w:rPr>
        <w:t>酸雨中浸泡不低于168h后，外观无起泡、开裂且色牢度3~4级；球场面层通过皂水浸泡24h-低温24h-高温72h-常温48h等持续老化不低于168h后，外观无起泡、开裂，面层的尺寸稳定性≤1%，色牢度不低于3级，其冲击吸收、垂直变形、球反弹率、抗滑值（干、湿）、摩擦系数、拉伸强度、拉断伸长率、阻燃性、耐磨性、撕裂强度、邵A硬度等物理性能分别符合GB 36246-2018、GB/T 22517.4-2017、GB/T 14833-2020标准相关要求。（</w:t>
      </w:r>
      <w:r>
        <w:rPr>
          <w:rFonts w:hint="eastAsia"/>
          <w:b/>
          <w:bCs/>
        </w:rPr>
        <w:t>需提供具备“CMA”或“CNAS”资质的第三方检测机构出具的检验合格报告复印件佐证。）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</w:rPr>
        <w:t>22.</w:t>
      </w:r>
      <w:r>
        <w:rPr>
          <w:rFonts w:hint="eastAsia"/>
          <w:b/>
          <w:bCs/>
        </w:rPr>
        <w:t>需提供生产厂家出具的项目授权书复印件，原件</w:t>
      </w:r>
      <w:r>
        <w:rPr>
          <w:rFonts w:hint="eastAsia"/>
          <w:b/>
          <w:bCs/>
          <w:lang w:eastAsia="zh-CN"/>
        </w:rPr>
        <w:t>备查</w:t>
      </w:r>
      <w:r>
        <w:rPr>
          <w:rFonts w:hint="eastAsia"/>
          <w:b/>
          <w:bCs/>
        </w:rPr>
        <w:t>。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注：</w:t>
      </w:r>
      <w:r>
        <w:rPr>
          <w:rFonts w:hint="eastAsia"/>
          <w:b/>
          <w:bCs/>
          <w:lang w:val="en-US" w:eastAsia="zh-CN"/>
        </w:rPr>
        <w:t>施工前需对现有场地基础需要打磨、破损处需要修补平整，施工后需清理场地垃圾。</w:t>
      </w:r>
    </w:p>
    <w:p>
      <w:pPr>
        <w:spacing w:line="360" w:lineRule="auto"/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7E961FA"/>
    <w:rsid w:val="00024E8E"/>
    <w:rsid w:val="002623C0"/>
    <w:rsid w:val="00271B05"/>
    <w:rsid w:val="003F6BE0"/>
    <w:rsid w:val="004163B0"/>
    <w:rsid w:val="00435FEF"/>
    <w:rsid w:val="004A657F"/>
    <w:rsid w:val="004D7E38"/>
    <w:rsid w:val="00641E27"/>
    <w:rsid w:val="007733DC"/>
    <w:rsid w:val="008E1D47"/>
    <w:rsid w:val="00BF4EE1"/>
    <w:rsid w:val="00D80D18"/>
    <w:rsid w:val="00DB661B"/>
    <w:rsid w:val="00F00228"/>
    <w:rsid w:val="00F70036"/>
    <w:rsid w:val="02D77345"/>
    <w:rsid w:val="13D454FC"/>
    <w:rsid w:val="37E961FA"/>
    <w:rsid w:val="4724526B"/>
    <w:rsid w:val="5EFF11EC"/>
    <w:rsid w:val="6A5A5715"/>
    <w:rsid w:val="6CB848BB"/>
    <w:rsid w:val="71FFB898"/>
    <w:rsid w:val="76974B9D"/>
    <w:rsid w:val="79A958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1114</Words>
  <Characters>1486</Characters>
  <Lines>10</Lines>
  <Paragraphs>3</Paragraphs>
  <TotalTime>0</TotalTime>
  <ScaleCrop>false</ScaleCrop>
  <LinksUpToDate>false</LinksUpToDate>
  <CharactersWithSpaces>1499</CharactersWithSpaces>
  <Application>WPS Office_12.8.2.17002_F1E327BC-269C-435d-A152-05C5408002CA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2026-05-09T22:08:00Z</dcterms:created>
  <dc:creator>.</dc:creator>
  <cp:lastModifiedBy>萝卜炖猪泡泡龙</cp:lastModifiedBy>
  <cp:lastPrinted>2026-06-18T18:50:00Z</cp:lastPrinted>
  <dcterms:modified xsi:type="dcterms:W3CDTF">2026-10-20T10:31:03Z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2052-12.8.2.17002</vt:lpwstr>
  </property>
  <property fmtid="{D5CDD505-2E9C-101B-9397-08002B2CF9AE}" pid="3" name="ICV">
    <vt:lpwstr>CE2D8712903D4E1B8B36A12757178B7B_13</vt:lpwstr>
  </property>
  <property fmtid="{D5CDD505-2E9C-101B-9397-08002B2CF9AE}" pid="4" name="KSOTemplateDocerSaveRecord">
    <vt:lpwstr>eyJoZGlkIjoiNDM5NWYzNGNmNGFjZGJkMjYzMzZjMzgyNTYyMDg5MjEiLCJ1c2VySWQiOiIyNjEzMjIxMjIifQ==</vt:lpwstr>
  </property>
</Properties>
</file>